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黑体" w:eastAsia="仿宋_GB2312"/>
          <w:color w:val="000000"/>
          <w:sz w:val="36"/>
          <w:szCs w:val="36"/>
        </w:rPr>
      </w:pPr>
      <w:r>
        <w:rPr>
          <w:rFonts w:hint="eastAsia" w:ascii="仿宋_GB2312" w:hAnsi="黑体" w:eastAsia="仿宋_GB2312"/>
          <w:sz w:val="36"/>
          <w:szCs w:val="36"/>
        </w:rPr>
        <w:t>台办发〔</w:t>
      </w:r>
      <w:r>
        <w:rPr>
          <w:rFonts w:hint="eastAsia" w:ascii="仿宋_GB2312" w:hAnsi="黑体" w:eastAsia="仿宋_GB2312" w:cs="仿宋_GB2312"/>
          <w:sz w:val="36"/>
          <w:szCs w:val="36"/>
        </w:rPr>
        <w:t>20</w:t>
      </w:r>
      <w:r>
        <w:rPr>
          <w:rFonts w:ascii="仿宋_GB2312" w:hAnsi="黑体" w:eastAsia="仿宋_GB2312" w:cs="仿宋_GB2312"/>
          <w:sz w:val="36"/>
          <w:szCs w:val="36"/>
        </w:rPr>
        <w:t>2</w:t>
      </w:r>
      <w:r>
        <w:rPr>
          <w:rFonts w:hint="default" w:ascii="仿宋_GB2312" w:hAnsi="黑体" w:eastAsia="仿宋_GB2312" w:cs="仿宋_GB2312"/>
          <w:sz w:val="36"/>
          <w:szCs w:val="36"/>
          <w:lang w:val="en" w:eastAsia="zh-CN"/>
        </w:rPr>
        <w:t>3</w:t>
      </w:r>
      <w:r>
        <w:rPr>
          <w:rFonts w:hint="eastAsia" w:ascii="仿宋_GB2312" w:hAnsi="黑体" w:eastAsia="仿宋_GB2312"/>
          <w:sz w:val="36"/>
          <w:szCs w:val="36"/>
        </w:rPr>
        <w:t>〕</w:t>
      </w:r>
      <w:r>
        <w:rPr>
          <w:rFonts w:hint="eastAsia" w:ascii="仿宋_GB2312" w:hAnsi="黑体" w:eastAsia="仿宋_GB2312"/>
          <w:sz w:val="36"/>
          <w:szCs w:val="36"/>
          <w:lang w:val="en-US" w:eastAsia="zh-CN"/>
        </w:rPr>
        <w:t>13</w:t>
      </w:r>
      <w:r>
        <w:rPr>
          <w:rFonts w:hint="eastAsia" w:ascii="仿宋_GB2312" w:hAnsi="黑体" w:eastAsia="仿宋_GB2312"/>
          <w:sz w:val="36"/>
          <w:szCs w:val="36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9"/>
          <w:kern w:val="0"/>
          <w:sz w:val="44"/>
          <w:szCs w:val="44"/>
          <w:fitText w:val="4752" w:id="805052859"/>
          <w:lang w:val="en-US" w:eastAsia="zh-CN"/>
        </w:rPr>
        <w:t>中共台儿庄区委办公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5"/>
          <w:kern w:val="0"/>
          <w:sz w:val="44"/>
          <w:szCs w:val="44"/>
          <w:fitText w:val="4752" w:id="805052859"/>
          <w:lang w:val="en-US" w:eastAsia="zh-CN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6"/>
          <w:sz w:val="44"/>
          <w:szCs w:val="44"/>
          <w:lang w:val="en-US" w:eastAsia="zh-CN"/>
        </w:rPr>
        <w:t>台儿庄区人民政府办公室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关于减轻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负担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规范各类事项进校园的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各镇（街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）党（工）委、人民政府（办事处），</w:t>
      </w:r>
      <w:r>
        <w:rPr>
          <w:rFonts w:hint="eastAsia" w:ascii="仿宋_GB2312" w:eastAsia="仿宋_GB2312"/>
          <w:sz w:val="32"/>
          <w:szCs w:val="32"/>
        </w:rPr>
        <w:t>经济开发区，</w:t>
      </w:r>
      <w:r>
        <w:rPr>
          <w:rFonts w:hint="eastAsia" w:ascii="仿宋_GB2312" w:eastAsia="仿宋_GB2312"/>
          <w:sz w:val="32"/>
          <w:szCs w:val="32"/>
          <w:lang w:eastAsia="zh-CN"/>
        </w:rPr>
        <w:t>区委和区政府各部门（单位）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各人民团体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中共中央办公厅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国务院办公厅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《关于减轻中小学教师负担进一步营造教育教学良好环境的若干意见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《山东省中小学教师减负清单》，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经区委、区政府研究同意，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现就减轻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规范各类事项进校园通知如下。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充分认识减轻学校负担的重要意义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教育是国之大计、党之大计。学校是教育者有计划、有组织地对学生进行系统的教育活动的组织机构，是育人的场所，是传授知识的地方；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教师是履行教育教学职责的专业人员，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肩负着培养社会主义建设者和接班人的时代重任。营造良好的教育环境，让学校和教师全身心投入工作，才能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孕育更多的生机和活力，让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享受更优质的教育。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、</w:t>
      </w:r>
      <w:r>
        <w:rPr>
          <w:rStyle w:val="1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减轻督查检查评比考核负担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督查检查评比考核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提前审批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各部门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开展涉及中小学校和教师的督查检查评比考核事项，按照归口管理原则，报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经区委教育工作领导小组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研究审批。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严禁各部门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组织实施未经审批报备的督查检查评比考核事项。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校园创建活动严格审核把关。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各部门（单位）组织的创建活动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非必要不安排学校参与；确需学校参与的，报区委教育工作领导小组审核把关，如学校已有开展的相近内容，可根据实际需要合理融入。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改进督查检查评比考核方式方法。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完善考核评价体系，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注重工作实绩，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不准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在涉及中小学校和教师的督查检查评比考核中层层签订责任状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刚安排工作就开展督查检查评比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以微信工作群、政务A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PP（应用程序）上传工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作场景截图或录制视频等方式来代替实际工作评价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不准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以调研指导、学习考察、工作调度、观摩交流等名义变相开展中小学校或教师督查检查评比考核，夹带搞评比打分、排名通报。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、</w:t>
      </w:r>
      <w:r>
        <w:rPr>
          <w:rStyle w:val="1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减轻社会事务进校园负担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减少教师参与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专项任务。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严格规范学校和教师参与非教育教学领域的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专项工作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确需参与的，由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发起单位商区教育和体育局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统筹安排，不得影响正常教育教学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不得安排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学校组织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中小学教师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或学生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到与教育教学无关的场所开展相关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科学分配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城市创优评先任务。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城市创优评先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涉及中小学校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  <w:t>的，由区教育和体育局严格按要求依程序统筹安排，原则上不得安排教师上街执勤或做其他与教师职责无关的工作。未商区教育和体育局同意，各部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不得擅自进校园指导教师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、学生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开展相关工作。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3.合理安排有关教育宣传活动。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面向中小学生开展的教育宣传活动，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要根据中小学生德智体美劳全面发展的需要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1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由区教育和体育局整体规划、统筹安排进入校园。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  <w:t>属于社会面宣传教育的内容，应坚持教师自愿原则，不得强制要求反馈、截图上传或通报排名等。任何部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  <w:t>不得硬性要求中小学教师、学生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学生家长关注与教育教学无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关的微信公众号，或者通过网络投票、点赞、答题、知识竞赛、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推广宣传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等方式开展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与教育教学无关的活动。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严禁强制要求中小学校和教师填写与教育教学无关的问卷调查、调研材料、课题研究数据等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4.严禁商业活动进校园。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严禁安排学校出人出场地或借用学校场地举办招商、庆典等有关活动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严禁以营利为目的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-6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其他名义开展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-6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的商业活动、商业广告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-6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借机收费活动等进入校园。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减轻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中小学教师抽调借用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负担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从严规范借用中小学教师行为。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有关部门（单位）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未经批准抽调借用中小学教职工。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借用中小学教职工参与贯彻落实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党和国家重大决策部署任务的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要从严控制，且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借用期限原则上不超过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6个月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规范各级各类教师培训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除教育部门组织的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教师专业培训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人力资源社会保障部门依法依规开展的培训外，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其他部门（单位）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不得把无关培训摊派给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学校，严禁组织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充数量、撑场面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强化组织保障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切实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减负松绑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1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加强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领导。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各镇（街道）、各有关部门（单位）要高度重视，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切实履行责任，把减轻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负担纳入重要议事日程，严格落实审批和报备制度，采取有效措施予以推进。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区委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教育工作领导小组要加强统筹协调、宣传引导、督促落实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区教育和体育局要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认真落实好组织实施工作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发扬自我革命精神，在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6"/>
          <w:sz w:val="32"/>
          <w:szCs w:val="32"/>
          <w:highlight w:val="none"/>
          <w:lang w:val="en-US" w:eastAsia="zh-CN"/>
        </w:rPr>
        <w:t>教育系统内全面开展形式主义、官僚主义突出问题专项整治工作。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.规范工作程序。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级各部门（单位）开展涉及中小学校和教师的事项，实行年度计划审批报备制度，每年1月份报区委教育工作领导小组办公室汇总，经区委、区政府分管领导审批后，由教育部门统筹安排，其他任何部门（单位）不得直接向学校和教师安排布置任务。区教育和体育局要合理统筹日常各类进校园活动的开展，对各级各部门（单位）开展的涉及学校、教师、学生参与参加的活动进行严格把关审核，原则上每周不得安排超过半天的教学以外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，且不得跨日组织。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3.实行清单管理。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区教育和体育局牵头对已实施的进校园活动事项进行梳理，能合并的合并、能减少的减少、能取消的取消；对确需开展的活动，分类列出清单，报区委教育工作领导小组重新审核，确保工作成效，营造良好的教育生态。各级各类学校和教师对不符合本通知要求的工作安排，可以进行举报投诉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举报电话：0632-6616037（区政府办公室）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举报邮箱：tezxcb@zz.shandong.cn（区委宣传部）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附件：进校园活动事项分类清单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7"/>
          <w:sz w:val="32"/>
          <w:szCs w:val="32"/>
          <w:lang w:val="en-US" w:eastAsia="zh-CN"/>
        </w:rPr>
        <w:t>中共台儿庄区委办公室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台儿庄区人民政府办公室    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2023年12月22日     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进校园活动事项分类清单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一、以师生为教育对象的活动事项，保留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1.安全教育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2.宪法小卫士学习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3.国防有我知识竞赛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4.总体国家安全观知识竞赛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5.“鲁法护苗”普法知识竞赛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二、动员师生、家长参与的活动事项，取消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1.咪咕阅读APP下载、打卡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2.关注“离退休干部工作”公众号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3.关注“山东老干部”公众号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4.关注“枣庄老干部”公众号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5.关注“道中华”公众号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6.关注“中国反邪教”公众号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7.关注“中国禁毒”公众号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8.关注“信用枣庄”公众号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9.关注“安全教育服务平台”公众号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10.禁毒知识竞赛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11.锂电知识竞赛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12.“学习黄河保护法畅享枣庄文旅美”知识竞赛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13.倡议文明出行共创文明城市等小手拉大手活动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14.医保参保宣传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15.疫苗接种宣传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三、学校、师生参加的其他活动事项，不通报、不排名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1.学习强国平台学习（党员需参加）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2.青年大学习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3.爱山东APP下载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4.爱枣庄APP下载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5.AI台儿庄APP下载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6.国家反诈骗中心APP下载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7.“枣满意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枣解决”手机客户端安装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8.齐鲁工会APP下载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9.健康教育进校园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10.红色文化传承示范校创建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11.国防教育示范校创建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12.馆校共建示范校创建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13.“筑基”工程示范校创建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14.依法治校示范校创建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15.健康学校创建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16.禁毒示范校创建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17.绿色学校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18.文明校园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19.家校共育示范校创建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20.中医药文化进校园试点学校创建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21.雷锋学校创建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22.“传承黄河文化、讲好新时代黄河故事”主题征文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23.“我的书屋·我的梦”农村少年儿童阅读实践活动征文、绘画、手抄报、硬笔书法、软笔书法作品征集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24.中小学生“宪法在我身边”法治书法作品、法治动漫微视频作品征集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default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20320</wp:posOffset>
                </wp:positionV>
                <wp:extent cx="5562600" cy="0"/>
                <wp:effectExtent l="0" t="0" r="0" b="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0.1pt;margin-top:1.6pt;height:0pt;width:438pt;z-index:251659264;mso-width-relative:page;mso-height-relative:page;" filled="f" stroked="t" coordsize="21600,21600" o:gfxdata="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59iSq&#10;0gAAAAQBAAAPAAAAAAAAAAEAIAAAADgAAABkcnMvZG93bnJldi54bWxQSwECFAAUAAAACACHTuJA&#10;kFxKxtgBAACXAwAADgAAAAAAAAABACAAAAA3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372745</wp:posOffset>
                </wp:positionV>
                <wp:extent cx="5562600" cy="0"/>
                <wp:effectExtent l="0" t="0" r="0" b="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0.85pt;margin-top:29.35pt;height:0pt;width:438pt;z-index:251659264;mso-width-relative:page;mso-height-relative:page;" filled="f" stroked="t" coordsize="21600,21600" o:gfxdata="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PAG&#10;8srTAAAABwEAAA8AAAAAAAAAAQAgAAAAOAAAAGRycy9kb3ducmV2LnhtbFBLAQIUABQAAAAIAIdO&#10;4kBrP8si2QEAAJcDAAAOAAAAAAAAAAEAIAAAAD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</w:rPr>
        <w:t xml:space="preserve">中共台儿庄区委办公室    </w: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</w:rPr>
        <w:t xml:space="preserve">   20</w:t>
      </w:r>
      <w:r>
        <w:rPr>
          <w:rFonts w:ascii="仿宋_GB2312" w:eastAsia="仿宋_GB2312" w:cs="仿宋_GB2312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仿宋_GB2312" w:eastAsia="仿宋_GB2312" w:cs="仿宋_GB2312"/>
          <w:kern w:val="0"/>
          <w:sz w:val="28"/>
          <w:szCs w:val="28"/>
          <w:shd w:val="clear" w:color="auto" w:fill="FFFFFF"/>
        </w:rPr>
        <w:t>日印发</w:t>
      </w:r>
    </w:p>
    <w:sectPr>
      <w:footerReference r:id="rId3" w:type="default"/>
      <w:pgSz w:w="11906" w:h="16838"/>
      <w:pgMar w:top="1984" w:right="1587" w:bottom="1701" w:left="1587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002020204"/>
    <w:charset w:val="00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-102235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0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B6Rrw1QAAAAgBAAAPAAAAAAAAAAEAIAAAADgAAABkcnMvZG93bnJldi54bWxQSwEC&#10;FAAUAAAACACHTuJAJhrSbhoCAAApBAAADgAAAAAAAAABACAAAAA6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2NjOGQxMjMwNzdkNjczOWI2NDAzYjg0MzczNTkifQ=="/>
  </w:docVars>
  <w:rsids>
    <w:rsidRoot w:val="00172A27"/>
    <w:rsid w:val="003C347F"/>
    <w:rsid w:val="00EC5695"/>
    <w:rsid w:val="011D00B4"/>
    <w:rsid w:val="02A97363"/>
    <w:rsid w:val="03012388"/>
    <w:rsid w:val="03071070"/>
    <w:rsid w:val="03457CFC"/>
    <w:rsid w:val="061F60E0"/>
    <w:rsid w:val="06782196"/>
    <w:rsid w:val="07EF7C3C"/>
    <w:rsid w:val="0B3A3EBE"/>
    <w:rsid w:val="0B40749F"/>
    <w:rsid w:val="0C1A70D2"/>
    <w:rsid w:val="0C9638D3"/>
    <w:rsid w:val="0CD904CD"/>
    <w:rsid w:val="0CF40FC5"/>
    <w:rsid w:val="0CF44C71"/>
    <w:rsid w:val="0DD203DE"/>
    <w:rsid w:val="0FE33CF3"/>
    <w:rsid w:val="107C17E6"/>
    <w:rsid w:val="11533437"/>
    <w:rsid w:val="11634641"/>
    <w:rsid w:val="11897D97"/>
    <w:rsid w:val="13510B6A"/>
    <w:rsid w:val="13A50343"/>
    <w:rsid w:val="14C64272"/>
    <w:rsid w:val="15B44E83"/>
    <w:rsid w:val="17BE0CD5"/>
    <w:rsid w:val="18A62752"/>
    <w:rsid w:val="1A4563DB"/>
    <w:rsid w:val="1A512FD2"/>
    <w:rsid w:val="1B99078D"/>
    <w:rsid w:val="1C2A7637"/>
    <w:rsid w:val="1C331E56"/>
    <w:rsid w:val="1D156539"/>
    <w:rsid w:val="1E1F222A"/>
    <w:rsid w:val="1E415CA2"/>
    <w:rsid w:val="1ECC2C27"/>
    <w:rsid w:val="1F1A7E37"/>
    <w:rsid w:val="1FF7CC0B"/>
    <w:rsid w:val="20686980"/>
    <w:rsid w:val="2100305C"/>
    <w:rsid w:val="210A20C4"/>
    <w:rsid w:val="23577C38"/>
    <w:rsid w:val="23D33C2A"/>
    <w:rsid w:val="23D34A58"/>
    <w:rsid w:val="257A5985"/>
    <w:rsid w:val="25AA5A53"/>
    <w:rsid w:val="25ED11EA"/>
    <w:rsid w:val="267115C9"/>
    <w:rsid w:val="26764FBB"/>
    <w:rsid w:val="26B95E49"/>
    <w:rsid w:val="27A53868"/>
    <w:rsid w:val="282D6605"/>
    <w:rsid w:val="28B76F2F"/>
    <w:rsid w:val="2A1F27A5"/>
    <w:rsid w:val="2A381B5C"/>
    <w:rsid w:val="2A742749"/>
    <w:rsid w:val="2CDA0C05"/>
    <w:rsid w:val="2D3F4426"/>
    <w:rsid w:val="2D460049"/>
    <w:rsid w:val="2DB62AEE"/>
    <w:rsid w:val="2E1A7194"/>
    <w:rsid w:val="2EC9535E"/>
    <w:rsid w:val="2EFFEF77"/>
    <w:rsid w:val="30580F49"/>
    <w:rsid w:val="306941D0"/>
    <w:rsid w:val="308E2433"/>
    <w:rsid w:val="314A45AB"/>
    <w:rsid w:val="316A5022"/>
    <w:rsid w:val="32E40943"/>
    <w:rsid w:val="32E77BD8"/>
    <w:rsid w:val="334E7C57"/>
    <w:rsid w:val="34B91B17"/>
    <w:rsid w:val="353A0493"/>
    <w:rsid w:val="35512E0C"/>
    <w:rsid w:val="355F55CE"/>
    <w:rsid w:val="3659703F"/>
    <w:rsid w:val="37BA5866"/>
    <w:rsid w:val="37C478FE"/>
    <w:rsid w:val="39033292"/>
    <w:rsid w:val="3A1B2758"/>
    <w:rsid w:val="3A7ED7F1"/>
    <w:rsid w:val="3AC84793"/>
    <w:rsid w:val="3AFF27E6"/>
    <w:rsid w:val="3B6F0569"/>
    <w:rsid w:val="3BA22E3B"/>
    <w:rsid w:val="3C1A4A67"/>
    <w:rsid w:val="3C8D7917"/>
    <w:rsid w:val="3C900A4B"/>
    <w:rsid w:val="3D4C5207"/>
    <w:rsid w:val="3DCF82B3"/>
    <w:rsid w:val="3E17F1D0"/>
    <w:rsid w:val="3E5A6EA2"/>
    <w:rsid w:val="3E93422E"/>
    <w:rsid w:val="3F3F352C"/>
    <w:rsid w:val="3FBC2474"/>
    <w:rsid w:val="3FDC3882"/>
    <w:rsid w:val="3FEFBE62"/>
    <w:rsid w:val="407A41AF"/>
    <w:rsid w:val="409E13A8"/>
    <w:rsid w:val="414F4F7B"/>
    <w:rsid w:val="41E65342"/>
    <w:rsid w:val="42784CF1"/>
    <w:rsid w:val="42C71596"/>
    <w:rsid w:val="43144A19"/>
    <w:rsid w:val="43B133C8"/>
    <w:rsid w:val="447319B2"/>
    <w:rsid w:val="447B3A29"/>
    <w:rsid w:val="45C631E6"/>
    <w:rsid w:val="45E24907"/>
    <w:rsid w:val="4670095A"/>
    <w:rsid w:val="4674757D"/>
    <w:rsid w:val="468D4830"/>
    <w:rsid w:val="47641B20"/>
    <w:rsid w:val="47F40975"/>
    <w:rsid w:val="48F690F2"/>
    <w:rsid w:val="490746D8"/>
    <w:rsid w:val="498A5169"/>
    <w:rsid w:val="4A3B288C"/>
    <w:rsid w:val="4AF173EE"/>
    <w:rsid w:val="4AF33E83"/>
    <w:rsid w:val="4B4F3040"/>
    <w:rsid w:val="4C0F3FD0"/>
    <w:rsid w:val="4CE356B2"/>
    <w:rsid w:val="4D710D8B"/>
    <w:rsid w:val="4E173610"/>
    <w:rsid w:val="4ECD1536"/>
    <w:rsid w:val="4EE73E0A"/>
    <w:rsid w:val="500965F1"/>
    <w:rsid w:val="50A161A7"/>
    <w:rsid w:val="50D5656F"/>
    <w:rsid w:val="51856946"/>
    <w:rsid w:val="51E21B45"/>
    <w:rsid w:val="51FED7AB"/>
    <w:rsid w:val="54183C3E"/>
    <w:rsid w:val="5419317A"/>
    <w:rsid w:val="54843081"/>
    <w:rsid w:val="54D26583"/>
    <w:rsid w:val="55455087"/>
    <w:rsid w:val="555AD33A"/>
    <w:rsid w:val="556F1F83"/>
    <w:rsid w:val="55DF0EB7"/>
    <w:rsid w:val="56091A90"/>
    <w:rsid w:val="5623174F"/>
    <w:rsid w:val="5751459F"/>
    <w:rsid w:val="575DF8A4"/>
    <w:rsid w:val="57B74B23"/>
    <w:rsid w:val="57D80D43"/>
    <w:rsid w:val="58060CB9"/>
    <w:rsid w:val="59617E35"/>
    <w:rsid w:val="5A610DFC"/>
    <w:rsid w:val="5B150ED7"/>
    <w:rsid w:val="5BD462C2"/>
    <w:rsid w:val="5C29540E"/>
    <w:rsid w:val="5CD62841"/>
    <w:rsid w:val="5DA47EBA"/>
    <w:rsid w:val="5DFDFAAB"/>
    <w:rsid w:val="5E0B46BF"/>
    <w:rsid w:val="5ECE78A7"/>
    <w:rsid w:val="5EFA7CCD"/>
    <w:rsid w:val="5F5546A2"/>
    <w:rsid w:val="5F66498A"/>
    <w:rsid w:val="5FBE6BF9"/>
    <w:rsid w:val="5FDF17CB"/>
    <w:rsid w:val="5FFBE18A"/>
    <w:rsid w:val="60AA3E6F"/>
    <w:rsid w:val="6183303E"/>
    <w:rsid w:val="61BB2A27"/>
    <w:rsid w:val="62EE44E7"/>
    <w:rsid w:val="631657C6"/>
    <w:rsid w:val="6388493C"/>
    <w:rsid w:val="65BF149E"/>
    <w:rsid w:val="66734CB0"/>
    <w:rsid w:val="66B02EEB"/>
    <w:rsid w:val="676179DD"/>
    <w:rsid w:val="67786A75"/>
    <w:rsid w:val="67EB75B4"/>
    <w:rsid w:val="681D13CB"/>
    <w:rsid w:val="69196036"/>
    <w:rsid w:val="69DD324F"/>
    <w:rsid w:val="6AA01717"/>
    <w:rsid w:val="6ACF4D2F"/>
    <w:rsid w:val="6AEB1401"/>
    <w:rsid w:val="6B253B12"/>
    <w:rsid w:val="6BC84F1E"/>
    <w:rsid w:val="6BE705EA"/>
    <w:rsid w:val="6BEC2F2C"/>
    <w:rsid w:val="6C805676"/>
    <w:rsid w:val="6D301BA0"/>
    <w:rsid w:val="6DBB225C"/>
    <w:rsid w:val="6E5F67E4"/>
    <w:rsid w:val="6E8E3022"/>
    <w:rsid w:val="6FFFED03"/>
    <w:rsid w:val="704716DB"/>
    <w:rsid w:val="723C6157"/>
    <w:rsid w:val="729B33B9"/>
    <w:rsid w:val="73243F55"/>
    <w:rsid w:val="749A38B8"/>
    <w:rsid w:val="7565D565"/>
    <w:rsid w:val="756B7C25"/>
    <w:rsid w:val="757DE146"/>
    <w:rsid w:val="7586241D"/>
    <w:rsid w:val="75EE14A1"/>
    <w:rsid w:val="76815622"/>
    <w:rsid w:val="76F36AB0"/>
    <w:rsid w:val="77A83C58"/>
    <w:rsid w:val="77C07548"/>
    <w:rsid w:val="77DF8C3E"/>
    <w:rsid w:val="77DFD158"/>
    <w:rsid w:val="77FF7C01"/>
    <w:rsid w:val="77FFEDE9"/>
    <w:rsid w:val="788F757C"/>
    <w:rsid w:val="78A41E11"/>
    <w:rsid w:val="7A3C3932"/>
    <w:rsid w:val="7A467F56"/>
    <w:rsid w:val="7A820AEB"/>
    <w:rsid w:val="7ABB1426"/>
    <w:rsid w:val="7AC41796"/>
    <w:rsid w:val="7AFD4E7B"/>
    <w:rsid w:val="7B5F4B44"/>
    <w:rsid w:val="7BE20509"/>
    <w:rsid w:val="7DFF1B6E"/>
    <w:rsid w:val="7E053ED4"/>
    <w:rsid w:val="7E6C956E"/>
    <w:rsid w:val="7E8742DA"/>
    <w:rsid w:val="7EB64E37"/>
    <w:rsid w:val="7F0864D9"/>
    <w:rsid w:val="7F3F0203"/>
    <w:rsid w:val="7F3F523D"/>
    <w:rsid w:val="7F7D58EC"/>
    <w:rsid w:val="7FAF6D08"/>
    <w:rsid w:val="7FCF95A0"/>
    <w:rsid w:val="7FF9FE43"/>
    <w:rsid w:val="7FFC4BDE"/>
    <w:rsid w:val="7FFF25BF"/>
    <w:rsid w:val="8F1576C7"/>
    <w:rsid w:val="8FFFBE4E"/>
    <w:rsid w:val="946B18BE"/>
    <w:rsid w:val="9B730D4E"/>
    <w:rsid w:val="9CBF28A0"/>
    <w:rsid w:val="9D4B5CFF"/>
    <w:rsid w:val="9F5D2AC3"/>
    <w:rsid w:val="A7669445"/>
    <w:rsid w:val="A77DB3B2"/>
    <w:rsid w:val="AEB9206A"/>
    <w:rsid w:val="AFDAE674"/>
    <w:rsid w:val="AFF9F592"/>
    <w:rsid w:val="B76F0B32"/>
    <w:rsid w:val="B77BFAB9"/>
    <w:rsid w:val="B8FB171E"/>
    <w:rsid w:val="BA7B23C6"/>
    <w:rsid w:val="BCD7E7DB"/>
    <w:rsid w:val="BE7BC602"/>
    <w:rsid w:val="BFDFDAD1"/>
    <w:rsid w:val="BFFAB261"/>
    <w:rsid w:val="C6F78704"/>
    <w:rsid w:val="CBDE67D3"/>
    <w:rsid w:val="CBF5B20A"/>
    <w:rsid w:val="CEEF9DAB"/>
    <w:rsid w:val="CFD83D53"/>
    <w:rsid w:val="CFE3C919"/>
    <w:rsid w:val="CFFEAF85"/>
    <w:rsid w:val="D3EF8911"/>
    <w:rsid w:val="D4825511"/>
    <w:rsid w:val="DFBE0731"/>
    <w:rsid w:val="DFDB1880"/>
    <w:rsid w:val="DFDFE72C"/>
    <w:rsid w:val="DFEEDC49"/>
    <w:rsid w:val="DFEF3780"/>
    <w:rsid w:val="DFFB162E"/>
    <w:rsid w:val="DFFF8716"/>
    <w:rsid w:val="E6B777F1"/>
    <w:rsid w:val="E77FABCF"/>
    <w:rsid w:val="E9F71EFB"/>
    <w:rsid w:val="EBF286D0"/>
    <w:rsid w:val="EFAF26B9"/>
    <w:rsid w:val="EFBF614B"/>
    <w:rsid w:val="EFEB0459"/>
    <w:rsid w:val="EFFF3069"/>
    <w:rsid w:val="F1FFC4CB"/>
    <w:rsid w:val="F3BB0AB2"/>
    <w:rsid w:val="F47D2CA1"/>
    <w:rsid w:val="F5C76C6E"/>
    <w:rsid w:val="F5FF0DDC"/>
    <w:rsid w:val="F7AEC8DB"/>
    <w:rsid w:val="F7FDBF65"/>
    <w:rsid w:val="F8687783"/>
    <w:rsid w:val="FACF68F8"/>
    <w:rsid w:val="FB5913D8"/>
    <w:rsid w:val="FBBFC3EF"/>
    <w:rsid w:val="FBEF9389"/>
    <w:rsid w:val="FDBEDF1E"/>
    <w:rsid w:val="FE734873"/>
    <w:rsid w:val="FF9B8098"/>
    <w:rsid w:val="FFDF1826"/>
    <w:rsid w:val="FF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10"/>
      <w:sz w:val="132"/>
      <w:szCs w:val="1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6"/>
    <w:next w:val="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reader-word-layer reader-word-s46-2"/>
    <w:basedOn w:val="1"/>
    <w:next w:val="17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17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hAnsi="Arial Unicode MS" w:eastAsia="Arial Unicode MS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8</Pages>
  <Words>2736</Words>
  <Characters>2874</Characters>
  <Lines>0</Lines>
  <Paragraphs>0</Paragraphs>
  <TotalTime>1</TotalTime>
  <ScaleCrop>false</ScaleCrop>
  <LinksUpToDate>false</LinksUpToDate>
  <CharactersWithSpaces>2910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Teacher</dc:creator>
  <cp:lastModifiedBy>user</cp:lastModifiedBy>
  <cp:lastPrinted>2023-12-23T02:37:00Z</cp:lastPrinted>
  <dcterms:modified xsi:type="dcterms:W3CDTF">2023-12-22T19:23:46Z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EE1AEA72DB3F4827BF9A6A9DC21933D9_13</vt:lpwstr>
  </property>
</Properties>
</file>